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0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4"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1861820</wp:posOffset>
            </wp:positionH>
            <wp:positionV relativeFrom="paragraph">
              <wp:posOffset>27940</wp:posOffset>
            </wp:positionV>
            <wp:extent cx="2760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1861820</wp:posOffset>
            </wp:positionH>
            <wp:positionV relativeFrom="paragraph">
              <wp:posOffset>-220345</wp:posOffset>
            </wp:positionV>
            <wp:extent cx="2760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35" w:lineRule="exact"/>
        <w:rPr>
          <w:sz w:val="24"/>
          <w:szCs w:val="24"/>
          <w:color w:val="auto"/>
        </w:rPr>
      </w:pPr>
    </w:p>
    <w:p>
      <w:pPr>
        <w:ind w:left="601" w:hanging="601"/>
        <w:spacing w:after="0"/>
        <w:tabs>
          <w:tab w:leader="none" w:pos="601"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15(d) OF THE SECURITIES EXCHANGE ACT OF</w:t>
      </w:r>
    </w:p>
    <w:p>
      <w:pPr>
        <w:spacing w:after="0" w:line="2" w:lineRule="exact"/>
        <w:rPr>
          <w:rFonts w:ascii="MS PGothic" w:cs="MS PGothic" w:eastAsia="MS PGothic" w:hAnsi="MS PGothic"/>
          <w:sz w:val="21"/>
          <w:szCs w:val="21"/>
          <w:color w:val="auto"/>
        </w:rPr>
      </w:pPr>
    </w:p>
    <w:p>
      <w:pPr>
        <w:ind w:left="5081"/>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160"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 xml:space="preserve">For the fiscal year ended </w:t>
      </w:r>
      <w:r>
        <w:rPr>
          <w:rFonts w:ascii="Times New Roman" w:cs="Times New Roman" w:eastAsia="Times New Roman" w:hAnsi="Times New Roman"/>
          <w:sz w:val="18"/>
          <w:szCs w:val="18"/>
          <w:b w:val="1"/>
          <w:bCs w:val="1"/>
          <w:color w:val="auto"/>
        </w:rPr>
        <w:t>December 31, 2025</w:t>
      </w:r>
    </w:p>
    <w:p>
      <w:pPr>
        <w:spacing w:after="0" w:line="40" w:lineRule="exact"/>
        <w:rPr>
          <w:sz w:val="24"/>
          <w:szCs w:val="24"/>
          <w:color w:val="auto"/>
        </w:rPr>
      </w:pPr>
    </w:p>
    <w:p>
      <w:pPr>
        <w:ind w:left="541" w:hanging="541"/>
        <w:spacing w:after="0"/>
        <w:tabs>
          <w:tab w:leader="none" w:pos="541" w:val="left"/>
        </w:tabs>
        <w:numPr>
          <w:ilvl w:val="0"/>
          <w:numId w:val="2"/>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TRANSITION REPORT PURSUANT TO SECTION 15(d) OF THE SECURITIES EXCHANGE ACT</w:t>
      </w:r>
    </w:p>
    <w:p>
      <w:pPr>
        <w:spacing w:after="0" w:line="2" w:lineRule="exact"/>
        <w:rPr>
          <w:rFonts w:ascii="Wingdings" w:cs="Wingdings" w:eastAsia="Wingdings" w:hAnsi="Wingdings"/>
          <w:sz w:val="21"/>
          <w:szCs w:val="21"/>
          <w:b w:val="1"/>
          <w:bCs w:val="1"/>
          <w:color w:val="auto"/>
        </w:rPr>
      </w:pPr>
    </w:p>
    <w:p>
      <w:pPr>
        <w:ind w:left="4901"/>
        <w:spacing w:after="0"/>
        <w:rPr>
          <w:rFonts w:ascii="Wingdings" w:cs="Wingdings" w:eastAsia="Wingdings" w:hAnsi="Wingdings"/>
          <w:sz w:val="21"/>
          <w:szCs w:val="21"/>
          <w:b w:val="1"/>
          <w:bCs w:val="1"/>
          <w:color w:val="auto"/>
        </w:rPr>
      </w:pPr>
      <w:r>
        <w:rPr>
          <w:rFonts w:ascii="Times New Roman" w:cs="Times New Roman" w:eastAsia="Times New Roman" w:hAnsi="Times New Roman"/>
          <w:sz w:val="22"/>
          <w:szCs w:val="22"/>
          <w:b w:val="1"/>
          <w:bCs w:val="1"/>
          <w:color w:val="auto"/>
        </w:rPr>
        <w:t>OF 1934</w:t>
      </w:r>
    </w:p>
    <w:p>
      <w:pPr>
        <w:spacing w:after="0" w:line="164" w:lineRule="exact"/>
        <w:rPr>
          <w:sz w:val="24"/>
          <w:szCs w:val="24"/>
          <w:color w:val="auto"/>
        </w:rPr>
      </w:pPr>
    </w:p>
    <w:p>
      <w:pPr>
        <w:ind w:left="3381"/>
        <w:spacing w:after="0"/>
        <w:rPr>
          <w:sz w:val="20"/>
          <w:szCs w:val="20"/>
          <w:color w:val="auto"/>
        </w:rPr>
      </w:pPr>
      <w:r>
        <w:rPr>
          <w:rFonts w:ascii="Times New Roman" w:cs="Times New Roman" w:eastAsia="Times New Roman" w:hAnsi="Times New Roman"/>
          <w:sz w:val="18"/>
          <w:szCs w:val="18"/>
          <w:color w:val="auto"/>
        </w:rPr>
        <w:t>For the transition period from______ to ______</w:t>
      </w:r>
    </w:p>
    <w:p>
      <w:pPr>
        <w:spacing w:after="0" w:line="104"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Commission File Number 001-00812</w:t>
      </w:r>
    </w:p>
    <w:p>
      <w:pPr>
        <w:spacing w:after="0" w:line="9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40"/>
          <w:szCs w:val="40"/>
          <w:b w:val="1"/>
          <w:bCs w:val="1"/>
          <w:color w:val="auto"/>
        </w:rPr>
        <w:t>RTX PUERTO RICO SAVINGS PLAN</w:t>
      </w:r>
    </w:p>
    <w:p>
      <w:pPr>
        <w:spacing w:after="0" w:line="1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(Full title of the plan)</w:t>
      </w:r>
    </w:p>
    <w:p>
      <w:pPr>
        <w:spacing w:after="0" w:line="7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40"/>
          <w:szCs w:val="40"/>
          <w:b w:val="1"/>
          <w:bCs w:val="1"/>
          <w:color w:val="auto"/>
        </w:rPr>
        <w:t>RTX CORPORATION</w:t>
      </w:r>
    </w:p>
    <w:p>
      <w:pPr>
        <w:spacing w:after="0" w:line="1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(Name of issuer of the securities held pursuant to the plan)</w:t>
      </w:r>
    </w:p>
    <w:p>
      <w:pPr>
        <w:spacing w:after="0" w:line="9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1000 WILSON BOULEVARD, ARLINGTON, VIRGINIA 22209</w:t>
      </w:r>
    </w:p>
    <w:p>
      <w:pPr>
        <w:spacing w:after="0" w:line="9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(Address of issuer's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-336550</wp:posOffset>
            </wp:positionH>
            <wp:positionV relativeFrom="paragraph">
              <wp:posOffset>617855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1"/>
          </w:cols>
          <w:pgMar w:left="839" w:top="1078" w:right="9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RTX PUERTO RICO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39"/>
        </w:trPr>
        <w:tc>
          <w:tcPr>
            <w:tcW w:w="103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520"/>
        </w:trPr>
        <w:tc>
          <w:tcPr>
            <w:tcW w:w="42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08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340" w:type="dxa"/>
            <w:vAlign w:val="bottom"/>
          </w:tcPr>
          <w:p>
            <w:pPr>
              <w:spacing w:after="0"/>
              <w:rPr>
                <w:sz w:val="24"/>
                <w:szCs w:val="24"/>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Statements of Net Assets Available for Benefits as of December 31, 2025 and 2024</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340" w:type="dxa"/>
            <w:vAlign w:val="bottom"/>
          </w:tcPr>
          <w:p>
            <w:pPr>
              <w:spacing w:after="0"/>
              <w:rPr>
                <w:sz w:val="24"/>
                <w:szCs w:val="24"/>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 of Changes in Net Assets Available for Benefits for the Year Ended December 31, 2025</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2900" w:type="dxa"/>
            <w:vAlign w:val="bottom"/>
            <w:gridSpan w:val="2"/>
          </w:tcPr>
          <w:p>
            <w:pPr>
              <w:spacing w:after="0"/>
              <w:rPr>
                <w:sz w:val="24"/>
                <w:szCs w:val="24"/>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3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Supplemental Schedule * - Schedule H, Line 4i - Schedule of Assets (Held at End of Year) as of December 31, 2025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24"/>
                <w:szCs w:val="24"/>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7380" w:type="dxa"/>
            <w:vAlign w:val="bottom"/>
            <w:gridSpan w:val="5"/>
          </w:tcPr>
          <w:p>
            <w:pPr>
              <w:spacing w:after="0"/>
              <w:rPr>
                <w:sz w:val="24"/>
                <w:szCs w:val="24"/>
                <w:color w:val="auto"/>
              </w:rPr>
            </w:pPr>
          </w:p>
        </w:tc>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11</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30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300" w:type="dxa"/>
            <w:vAlign w:val="bottom"/>
          </w:tcPr>
          <w:p>
            <w:pPr>
              <w:spacing w:after="0"/>
              <w:rPr>
                <w:sz w:val="24"/>
                <w:szCs w:val="24"/>
                <w:color w:val="auto"/>
              </w:rPr>
            </w:pPr>
          </w:p>
        </w:tc>
        <w:tc>
          <w:tcPr>
            <w:tcW w:w="9300" w:type="dxa"/>
            <w:vAlign w:val="bottom"/>
            <w:gridSpan w:val="6"/>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12</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322" w:lineRule="exact"/>
        <w:rPr>
          <w:sz w:val="20"/>
          <w:szCs w:val="20"/>
          <w:color w:val="auto"/>
        </w:rPr>
      </w:pPr>
    </w:p>
    <w:p>
      <w:pPr>
        <w:ind w:right="120" w:firstLine="8"/>
        <w:spacing w:after="0" w:line="282" w:lineRule="auto"/>
        <w:tabs>
          <w:tab w:leader="none" w:pos="13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supplemental schedules required by Section 2520.103-10 of the Department of Labor's Rules and Regulations and Disclosure under the Employee Retirement Income Security Act of 1974 have been omitted because they are not applicable.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Administrator and Plan Participants of RTX Puerto Rico Savings Plan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RTX Puerto Rico Savings Plan (the “Plan”) as of December 31, 2025 and 2024 and the related statement of changes in net assets available for benefits for the year ended December 31, 2025, including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25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supplemental schedule H, line 4i –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w:t>
      </w:r>
    </w:p>
    <w:p>
      <w:pPr>
        <w:spacing w:after="0" w:line="3"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and content, is presented in conformity with the Department of Labor’s Rules and Regulations for Reporting and Disclosure under the Employee Retirement Income Security Act of 1974. In our opinion, the supplemental schedule is fairly stated, in all material respects, in relation to the financial statements as a whole.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2002.</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at fair value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receivable: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Participants'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Employer's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receivable from participants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available for benefits</w:t>
      </w:r>
    </w:p>
    <w:p>
      <w:pPr>
        <w:spacing w:after="0" w:line="20" w:lineRule="exact"/>
        <w:rPr>
          <w:sz w:val="20"/>
          <w:szCs w:val="20"/>
          <w:color w:val="auto"/>
        </w:rPr>
      </w:pPr>
      <w:r>
        <w:rPr>
          <w:sz w:val="20"/>
          <w:szCs w:val="20"/>
          <w:color w:val="auto"/>
        </w:rPr>
        <w:br w:type="column"/>
      </w:r>
    </w:p>
    <w:p>
      <w:pPr>
        <w:jc w:val="center"/>
        <w:ind w:right="2960"/>
        <w:spacing w:after="0"/>
        <w:rPr>
          <w:sz w:val="20"/>
          <w:szCs w:val="20"/>
          <w:color w:val="auto"/>
        </w:rPr>
      </w:pPr>
      <w:r>
        <w:rPr>
          <w:rFonts w:ascii="Times New Roman" w:cs="Times New Roman" w:eastAsia="Times New Roman" w:hAnsi="Times New Roman"/>
          <w:sz w:val="18"/>
          <w:szCs w:val="18"/>
          <w:b w:val="1"/>
          <w:bCs w:val="1"/>
          <w:color w:val="auto"/>
        </w:rPr>
        <w:t>RTX PUERTO RICO SAVINGS PLAN</w:t>
      </w:r>
    </w:p>
    <w:p>
      <w:pPr>
        <w:spacing w:after="0" w:line="31" w:lineRule="exact"/>
        <w:rPr>
          <w:sz w:val="20"/>
          <w:szCs w:val="20"/>
          <w:color w:val="auto"/>
        </w:rPr>
      </w:pPr>
    </w:p>
    <w:p>
      <w:pPr>
        <w:jc w:val="center"/>
        <w:ind w:right="2960"/>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14" w:lineRule="exact"/>
        <w:rPr>
          <w:sz w:val="20"/>
          <w:szCs w:val="20"/>
          <w:color w:val="auto"/>
        </w:rPr>
      </w:pPr>
    </w:p>
    <w:tbl>
      <w:tblPr>
        <w:tblLayout w:type="fixed"/>
        <w:tblInd w:w="458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5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439"/>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163,563,000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120,649,724</w:t>
            </w:r>
          </w:p>
        </w:tc>
      </w:tr>
      <w:tr>
        <w:trPr>
          <w:trHeight w:val="454"/>
        </w:trPr>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255,068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170,299</w:t>
            </w:r>
          </w:p>
        </w:tc>
      </w:tr>
      <w:tr>
        <w:trPr>
          <w:trHeight w:val="229"/>
        </w:trPr>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89,769</w:t>
            </w:r>
          </w:p>
        </w:tc>
      </w:tr>
      <w:tr>
        <w:trPr>
          <w:trHeight w:val="234"/>
        </w:trPr>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7,253,087</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5,868,166</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171,212,281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126,777,958</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-1062355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-770890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-479425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-187960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480" w:space="460"/>
            <w:col w:w="8280"/>
          </w:cols>
          <w:pgMar w:left="340" w:top="88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954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RTX PUERTO RICO SAVINGS PLAN</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954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3"/>
        </w:trPr>
        <w:tc>
          <w:tcPr>
            <w:tcW w:w="954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5"/>
        </w:trPr>
        <w:tc>
          <w:tcPr>
            <w:tcW w:w="95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5"/>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 to net assets attributed to:</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9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r>
      <w:tr>
        <w:trPr>
          <w:trHeight w:val="230"/>
        </w:trPr>
        <w:tc>
          <w:tcPr>
            <w:tcW w:w="9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4,181,456</w:t>
            </w:r>
          </w:p>
        </w:tc>
      </w:tr>
      <w:tr>
        <w:trPr>
          <w:trHeight w:val="229"/>
        </w:trPr>
        <w:tc>
          <w:tcPr>
            <w:tcW w:w="9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24,986,401</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9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Participants'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14,909,500</w:t>
            </w:r>
          </w:p>
        </w:tc>
      </w:tr>
      <w:tr>
        <w:trPr>
          <w:trHeight w:val="229"/>
        </w:trPr>
        <w:tc>
          <w:tcPr>
            <w:tcW w:w="9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Employer's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6,931,911</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523,372</w:t>
            </w:r>
          </w:p>
        </w:tc>
      </w:tr>
      <w:tr>
        <w:trPr>
          <w:trHeight w:val="223"/>
        </w:trPr>
        <w:tc>
          <w:tcPr>
            <w:tcW w:w="9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additions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51,556,776</w:t>
            </w:r>
          </w:p>
        </w:tc>
      </w:tr>
      <w:tr>
        <w:trPr>
          <w:trHeight w:val="21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 from net assets attributed to:</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Distributions to participants or beneficiaries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7,122,453</w:t>
            </w:r>
          </w:p>
        </w:tc>
      </w:tr>
      <w:tr>
        <w:trPr>
          <w:trHeight w:val="223"/>
        </w:trPr>
        <w:tc>
          <w:tcPr>
            <w:tcW w:w="9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deductions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7,122,453</w:t>
            </w:r>
          </w:p>
        </w:tc>
      </w:tr>
      <w:tr>
        <w:trPr>
          <w:trHeight w:val="236"/>
        </w:trPr>
        <w:tc>
          <w:tcPr>
            <w:tcW w:w="9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44,434,323</w:t>
            </w:r>
          </w:p>
        </w:tc>
      </w:tr>
      <w:tr>
        <w:trPr>
          <w:trHeight w:val="229"/>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December 31, 2024</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126,777,958</w:t>
            </w: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December 31, 2025</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171,212,281</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RTX PUERTO RICO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DESCRIPTION OF THE PLAN</w:t>
      </w:r>
    </w:p>
    <w:p>
      <w:pPr>
        <w:spacing w:after="0" w:line="11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RTX Puerto Rico Savings Plan (the Plan) is a defined contribution savings plan sponsored by RTX Corporation (RTX,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 or the Plan Sponsor). It is subject to the provisions of the Employee Retirement Income Security Act of 1974 (ERISA), covering all eligible employees who reside or primarily work in Puerto Rico. The following description of the Plan provides only general information. Participants should refer to the Plan document for a complete description of the Plan's provisions.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Trustee and Recordkeeper. </w:t>
      </w:r>
      <w:r>
        <w:rPr>
          <w:rFonts w:ascii="Times New Roman" w:cs="Times New Roman" w:eastAsia="Times New Roman" w:hAnsi="Times New Roman"/>
          <w:sz w:val="18"/>
          <w:szCs w:val="18"/>
          <w:color w:val="auto"/>
        </w:rPr>
        <w:t>Banco Popular de Puerto Rico (Trustee) is the Plan Trustee. State Street Bank and Trust is the Plan Custodian and holds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assets. Alight Solutions LLC is the Plan Recordkeeper and performs participant account recordkeeping services.</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3, 2025, the Plan Sponsor approved a transition of recordkeeping services from Alight Solutions LLC to Fidelity Workplace Services. The transition is currently expected to occur during 2027.</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Contributions and Vesting. </w:t>
      </w:r>
      <w:r>
        <w:rPr>
          <w:rFonts w:ascii="Times New Roman" w:cs="Times New Roman" w:eastAsia="Times New Roman" w:hAnsi="Times New Roman"/>
          <w:sz w:val="18"/>
          <w:szCs w:val="18"/>
          <w:color w:val="auto"/>
        </w:rPr>
        <w:t>Participants may elect to contribute up to the lesser of 40% of pre-tax eligible compensation, as defined, or $15,000.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may also make additional after-tax contributions of up to 10% of eligible compensation through payroll deductions, subject to statutory and Plan limits. Participants direct the investment of their contributions into various investment options offered by the Plan. As of December 31, 2025, the Plan offered seventeen investment options to participants: twelve target-date retirement funds, a Total Stock Market Index Fund, a Total International Stock Index Fund, a Total Bond Market Index Fund, a money market fund, and an employer stock fund (RTX Stock Fund).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 contributions, plus actual earnings thereon, are fully vested at all times under the Plan. New participants are automatically enrolled at a pre-tax deferral rate of 6% of eligible compensation. The contribution rate will automatically increase by 1% each year thereafter until it reaches 10%. Participants may opt out of automatic enrollment at any time. Participants may also opt in or out of automatic contribution rate increases at any time. Automatic contributions are invested in an age appropriate target retirement fund. Company contributions, plus actual earnings thereon, become fully vested after two years of continuous service or earlier upon other events specified in the Plan.</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RTX matches 100% of the first 3%, and 33.3% thereafter, up to 6%, of eligible compensation, as defined in the Plan documents. Company and participant contributions are deposited into the investment options in accordance with the participants' elections.</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Participant Accounts. </w:t>
      </w:r>
      <w:r>
        <w:rPr>
          <w:rFonts w:ascii="Times New Roman" w:cs="Times New Roman" w:eastAsia="Times New Roman" w:hAnsi="Times New Roman"/>
          <w:sz w:val="18"/>
          <w:szCs w:val="18"/>
          <w:color w:val="auto"/>
        </w:rPr>
        <w:t>Each participant account is credited with (a) the participant contributions, (b) Company contributions, and (c) Plan earnings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reduced by expense allocations. The benefit to which a participant is entitled is the benefit that can be provided from the participant's vested account. Forfeited balances of terminated participants' non-vested Company contribution amounts are used to reduce the Company's contributions to the Plan and to pay Plan expenses. For the year ended December 31, 2025, amounts forfeited from non-vested accounts for the Plan totaled approximately $98,000, a total of $104,000 of forfeitures were used to fund RTX’s contributions. As of December 31, 2025 and 2024, the balance of forfeited non-vested accounts for the Plan was $36,000 and $103,000, respectively.</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RTX common stock held in the RTX Stock Fund are voted by the Trustee at RTX shareowner meetings, in accordance with the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of the participants whose accounts are invested in that fund. All shares of Company stock for which the Trustee receives voting instructions from participants to whose accounts the shares are allocated, are voted in accordance with those instructions. All RTX common stock for which the Trustee does not receive timely voting instructions are voted by the Trustee in accordance with the timely instructions it receives with respect to a plurality of the shares.</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Notes Receivable from Participants. </w:t>
      </w:r>
      <w:r>
        <w:rPr>
          <w:rFonts w:ascii="Times New Roman" w:cs="Times New Roman" w:eastAsia="Times New Roman" w:hAnsi="Times New Roman"/>
          <w:sz w:val="18"/>
          <w:szCs w:val="18"/>
          <w:color w:val="auto"/>
        </w:rPr>
        <w:t>Under the terms of the Plan, participants are allowed to borrow up to the lesser of 50% of their vested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balances or $50,000 (less the amount of the participant's highest outstanding loan balance in the preceding 12 month period), with a minimum loan amount of $1,000, and must repay their loan within five years. Participants may have two loans outstanding at a time. Loans are secured by the balance in the participant's account, and bear interest at the prime rate published in the Wall Street Journal plus 1%. At December 31, 2025 and 2024, the interest rates on the outstanding loans ranged from approximately 4.25% to 9.5%, and approximately 4.25% to 9.56%, respectively. Principal and interest are paid ratably through payroll deductions by active participants or through direct payment by inactive participants.</w:t>
      </w:r>
    </w:p>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Payment of Benefits. </w:t>
      </w:r>
      <w:r>
        <w:rPr>
          <w:rFonts w:ascii="Times New Roman" w:cs="Times New Roman" w:eastAsia="Times New Roman" w:hAnsi="Times New Roman"/>
          <w:sz w:val="18"/>
          <w:szCs w:val="18"/>
          <w:color w:val="auto"/>
        </w:rPr>
        <w:t>Generally, on termination of service of a participant, benefits may be left in the Plan, or paid to the participant in a lump sum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installments. In the case of death of a participant, benefits may be paid to beneficiaries in a lump sum or in installments. Participants are also eligible for hardship withdrawals in accordance with the Plan document.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ACCOUNTING PRINCIPLES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Basis of Accounting. </w:t>
      </w:r>
      <w:r>
        <w:rPr>
          <w:rFonts w:ascii="Times New Roman" w:cs="Times New Roman" w:eastAsia="Times New Roman" w:hAnsi="Times New Roman"/>
          <w:sz w:val="18"/>
          <w:szCs w:val="18"/>
          <w:color w:val="auto"/>
        </w:rPr>
        <w:t>The financial statements of the Plan are prepared under the accrual method of accounting.</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Investment Valuation and Income Recognition. </w:t>
      </w:r>
      <w:r>
        <w:rPr>
          <w:rFonts w:ascii="Times New Roman" w:cs="Times New Roman" w:eastAsia="Times New Roman" w:hAnsi="Times New Roman"/>
          <w:sz w:val="18"/>
          <w:szCs w:val="18"/>
          <w:color w:val="auto"/>
        </w:rPr>
        <w:t>Plan investments are stated at fair value as determined by the Plan Trustee, typically by reference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published market data. See Note 3 for further discussion regarding the determination of the fair value of Plan investments.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and sales of investments are recorded on a trade-date basis. Interest income is accrued when earned. Dividend income is recorded on the ex-dividend date. Net appreciation in the fair value of investments includes realized and unrealized gains and losses.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Receivable from Participants. </w:t>
      </w:r>
      <w:r>
        <w:rPr>
          <w:rFonts w:ascii="Times New Roman" w:cs="Times New Roman" w:eastAsia="Times New Roman" w:hAnsi="Times New Roman"/>
          <w:sz w:val="18"/>
          <w:szCs w:val="18"/>
          <w:color w:val="auto"/>
        </w:rPr>
        <w:t>Notes receivable from participants are valued at their unpaid principal balance plus any accrued but unpaid interest.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Delinquent loans are reclassified as distributions, which become taxable to the participant, based upon the terms of the Plan.</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Plan Expenses. </w:t>
      </w:r>
      <w:r>
        <w:rPr>
          <w:rFonts w:ascii="Times New Roman" w:cs="Times New Roman" w:eastAsia="Times New Roman" w:hAnsi="Times New Roman"/>
          <w:sz w:val="18"/>
          <w:szCs w:val="18"/>
          <w:color w:val="auto"/>
        </w:rPr>
        <w:t>Most administrative expenses, such as Trustee, custodial, legal, audit, and recordkeeping fees, were paid directly by the Company in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administrative expenses were paid from Plan assets or certain forfeited balances of participants' non-vested accounts during 2025. Investment management fees are included within Net appreciation in fair value of investments.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Payments of Benefits. </w:t>
      </w:r>
      <w:r>
        <w:rPr>
          <w:rFonts w:ascii="Times New Roman" w:cs="Times New Roman" w:eastAsia="Times New Roman" w:hAnsi="Times New Roman"/>
          <w:sz w:val="18"/>
          <w:szCs w:val="18"/>
          <w:color w:val="auto"/>
        </w:rPr>
        <w:t>Benefit payments to participants or beneficiaries are recorded when paid.</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the Plan's financial statements, in conformity with accounting principles generally accepted in the United States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(US GAAP), requires management to make estimates and assumptions that affect the reported amounts of net assets available for benefits at the dates of the financial statements, and changes therein during the reporting period and, when applicable, disclosures of contingent assets and liabilities at the dates of the financial statements. Actual results could differ from those estimates.</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Risks and Uncertainties. </w:t>
      </w:r>
      <w:r>
        <w:rPr>
          <w:rFonts w:ascii="Times New Roman" w:cs="Times New Roman" w:eastAsia="Times New Roman" w:hAnsi="Times New Roman"/>
          <w:sz w:val="18"/>
          <w:szCs w:val="18"/>
          <w:color w:val="auto"/>
        </w:rPr>
        <w:t>The Plan provides for various investment options in any combination of stocks, mutual funds, and other investment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securities are exposed to various risks, such as interest rate, market, and credit risks. These risks can be adversely impacted by shifts in the market's perception of the issuers, changes in interest rates, and global economic conditions. Due to the level of risk associated with certain investment securities and the level of uncertainty related to changes in the value of investment securities, it is at least reasonably possible that changes in risks in the near term would materially affect participants' account balances and the amounts reported in the statements of net assets available for benefits.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In preparing the accompanying financial statements, the Plan evaluated events occurring from December 31, 2025 through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financial statements were issued and determined there were none to disclose.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 FAIR VALUE OF INVESTMENTS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Measurements and Disclosure Topic of the Financial Accounting Standards Board (FASB) Accounting Standards Codification (ASC) establishes a valuation hierarchy for disclosure of the inputs to the valuations used to measure fair value. Classification of a financial asset or liability within the hierarchy is determined based on the lowest level input that is significant to the fair value measurement. This hierarchy prioritizes the inputs into three broad levels: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quoted prices included within Level 1 that are observable for the asset or liability either directly or indirectly;</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based on our own assumptions used to measure assets and liabilities at fair value.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the Plan's investments measured at fair value, including the general classification of those investments:</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Short-term investments represent investments held by the Plan in commingled institutional funds and are valued at the published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asset values (NAV) per unit as of the valuation date. The commingled institutional funds classified as short-term investments, known as short-term investment funds, transact daily without restriction in a manner similar to money market funds with an objective of maintaining a constant $1.00 NAV through investment in high-quality securities with short durations and are valued at the NAV per unit as of the valuation date. Although not traded on an active market, the NAV of the short term investment funds are observable.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RTX Stock Fund. </w:t>
      </w:r>
      <w:r>
        <w:rPr>
          <w:rFonts w:ascii="Times New Roman" w:cs="Times New Roman" w:eastAsia="Times New Roman" w:hAnsi="Times New Roman"/>
          <w:sz w:val="18"/>
          <w:szCs w:val="18"/>
          <w:color w:val="auto"/>
        </w:rPr>
        <w:t>The RTX Stock Fund is a unitized fund that invests primarily in shares of RTX common stock in addition to holding a small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less than 1.5% of the fund’s value) in highly liquid short-term investments, which provide readily available cash to fund participants’ distributions, loans, and investment exchanges. The value of the units credited to participants' RTX Stock Fund accounts reflects the fair value of the shares of RTX common stock as determined using the closing sales price on the valuation date plus the value of the cash position. Therefore, the unit value closely, but, because of the small cash position, not exactly, tracks the value of RTX common stock. At December 31, 2025 and 2024, the RTX Stock Fund was stated at fair value determined using the closing sales price of RTX common stock as of the valuation date plus the value of the cash position as of that date.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Mutual Funds. </w:t>
      </w:r>
      <w:r>
        <w:rPr>
          <w:rFonts w:ascii="Times New Roman" w:cs="Times New Roman" w:eastAsia="Times New Roman" w:hAnsi="Times New Roman"/>
          <w:sz w:val="18"/>
          <w:szCs w:val="18"/>
          <w:color w:val="auto"/>
        </w:rPr>
        <w:t>Shares held in mutual funds are stated at fair value using the published NAV on the last business day of each period presented. Mutual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are traded daily without restriction.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the investments carried at fair value measured on a recurring basis as of December 31, 2025 and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277,679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277,679</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RTX common stock</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22,628,626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22,628,626</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140,656,695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140,656,695</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163,285,321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277,679</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163,563,000</w:t>
            </w: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62"/>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4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294,225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294,225</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RTX common stock</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14,780,221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14,780,221</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105,575,278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105,575,278</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120,355,499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294,225</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120,649,724</w:t>
            </w: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 RELATED-PARTY AND PARTY-IN-INTEREST TRANSACTIONS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holds common shares of RTX, the Plan sponsor, and these qualify as exempt party-in-interest transactions. The total value of the Plan's interest in the RTX Stock Fund was $22,628,626 and $14,780,221 at December 31, 2025 and 2024, respectively. During the year ended December 31, 2025, the Plan purchased shares of RTX common stock in the amount of $3,455,249, sold shares of RTX common stock in the amount of $4,068,849, and had net appreciation in the fair value of the RTX common stock in the amount of $8,428,239, including dividend income of $331,667.</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of the Plan’s investment options are managed by State Street Investment Management (formerly known as State Street Global Advisors), an affiliate of the Custodian. Transactions in such investments qualify as exempt party-in-interest transactions. Notes receivable from participants transactions also qualify as exempt party-in-interest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 PLAN TERMINATION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RTX has the right under the Plan to terminate the Plan subject to the provisions of ERISA. In the event of Plan termination, participants will become fully vested in their account balances.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 RECONCILIATION OF FINANCIAL STATEMENTS TO FORM 5500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reconciliations of net assets available for benefits and benefits paid from the financial statements to the Form 5500: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Pr>
          <w:p>
            <w:pPr>
              <w:spacing w:after="0"/>
              <w:rPr>
                <w:sz w:val="16"/>
                <w:szCs w:val="16"/>
                <w:color w:val="auto"/>
              </w:rPr>
            </w:pPr>
          </w:p>
        </w:tc>
      </w:tr>
      <w:tr>
        <w:trPr>
          <w:trHeight w:val="23"/>
        </w:trPr>
        <w:tc>
          <w:tcPr>
            <w:tcW w:w="7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73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171,212,281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126,777,958</w:t>
            </w:r>
          </w:p>
        </w:tc>
      </w:tr>
      <w:tr>
        <w:trPr>
          <w:trHeight w:val="229"/>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Deemed distributions of participant loans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(359,086)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(202,405)</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Form 5500</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170,853,195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126,575,553</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Distributions to participants or beneficiaries per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Add: Deemed distributions of participant loans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Less: Deemed distributions of participant loans at December 31, 2024</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Distributions to participants or beneficiaries per Form 5500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61" w:lineRule="exact"/>
        <w:rPr>
          <w:sz w:val="20"/>
          <w:szCs w:val="20"/>
          <w:color w:val="auto"/>
        </w:rPr>
      </w:pPr>
    </w:p>
    <w:p>
      <w:pPr>
        <w:ind w:left="1280" w:hanging="1275"/>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7,122,453</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359,086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(202,405)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3290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1" w:lineRule="exact"/>
        <w:rPr>
          <w:sz w:val="20"/>
          <w:szCs w:val="20"/>
          <w:color w:val="auto"/>
        </w:rPr>
      </w:pPr>
    </w:p>
    <w:p>
      <w:pPr>
        <w:ind w:left="1280" w:hanging="1275"/>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7,279,134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13290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90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43180</wp:posOffset>
            </wp:positionV>
            <wp:extent cx="13290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440" w:space="720"/>
            <w:col w:w="2080"/>
          </w:cols>
          <w:pgMar w:left="320" w:top="1143" w:right="339" w:bottom="1440" w:gutter="0" w:footer="0" w:header="0"/>
          <w:type w:val="continuous"/>
        </w:sectPr>
      </w:pPr>
    </w:p>
    <w:p>
      <w:pPr>
        <w:spacing w:after="0" w:line="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Deemed distributions of participant loans are included within the Notes receivable from participants balance per the Statements of Net Assets Available for Benefits, however, are reported as taxable distributions per Form 5500.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TAX STATUS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Puerto Rico Treasury Department determined and informed the Company by letter dated November 20, 2025 that the Plan meets the requirements of Section 1081.01 of the Puerto Rico Internal Revenue Code of 2011 (“Code”) and that the trust established thereunder (“Trust”) will be entitled to exemption from local income taxes under the Code. The Plan has been amended since receiving the determination letter. The Company believes that the current design and operation of the Plan are consistent with preservation of the qualification of the Plan and exemption of the Trust in the context of the applicable procedures of the Puerto Rico Treasury Department.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Puerto Rico Treasury Department. As of December 31, 2025 and 2024, the Company has analyzed the tax positions taken by the Plan and has concluded that there are no uncertain positions taken that would require recognition of a liability or disclosure in the financial statements. The Plan is subject to routine audits by taxing jurisdictions; however, there are currently no audits for any tax periods in progress. The Company believes it is no longer subject to income tax examinations for years prior to 2021.</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RTX PUERTO RICO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 Description of investment, including maturity</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w:t>
            </w:r>
          </w:p>
        </w:tc>
        <w:tc>
          <w:tcPr>
            <w:tcW w:w="50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(b) Identity of issuer, borrower, lessor, or similar party</w:t>
            </w:r>
          </w:p>
        </w:tc>
        <w:tc>
          <w:tcPr>
            <w:tcW w:w="3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date, rate of interest, collateral, par or maturity</w:t>
            </w:r>
          </w:p>
        </w:tc>
        <w:tc>
          <w:tcPr>
            <w:tcW w:w="1260" w:type="dxa"/>
            <w:vAlign w:val="bottom"/>
            <w:gridSpan w:val="3"/>
            <w:vMerge w:val="restart"/>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(d) Cost</w:t>
            </w:r>
          </w:p>
        </w:tc>
        <w:tc>
          <w:tcPr>
            <w:tcW w:w="1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 Current value</w:t>
            </w:r>
          </w:p>
        </w:tc>
        <w:tc>
          <w:tcPr>
            <w:tcW w:w="0" w:type="dxa"/>
            <w:vAlign w:val="bottom"/>
          </w:tcPr>
          <w:p>
            <w:pPr>
              <w:spacing w:after="0"/>
              <w:rPr>
                <w:sz w:val="1"/>
                <w:szCs w:val="1"/>
                <w:color w:val="auto"/>
              </w:rPr>
            </w:pPr>
          </w:p>
        </w:tc>
      </w:tr>
      <w:tr>
        <w:trPr>
          <w:trHeight w:val="195"/>
        </w:trPr>
        <w:tc>
          <w:tcPr>
            <w:tcW w:w="460" w:type="dxa"/>
            <w:vAlign w:val="bottom"/>
            <w:gridSpan w:val="2"/>
            <w:vMerge w:val="continue"/>
          </w:tcPr>
          <w:p>
            <w:pPr>
              <w:spacing w:after="0"/>
              <w:rPr>
                <w:sz w:val="16"/>
                <w:szCs w:val="16"/>
                <w:color w:val="auto"/>
              </w:rPr>
            </w:pPr>
          </w:p>
        </w:tc>
        <w:tc>
          <w:tcPr>
            <w:tcW w:w="5000" w:type="dxa"/>
            <w:vAlign w:val="bottom"/>
            <w:gridSpan w:val="2"/>
            <w:vMerge w:val="continue"/>
          </w:tcPr>
          <w:p>
            <w:pPr>
              <w:spacing w:after="0"/>
              <w:rPr>
                <w:sz w:val="16"/>
                <w:szCs w:val="16"/>
                <w:color w:val="auto"/>
              </w:rPr>
            </w:pP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60" w:type="dxa"/>
            <w:vAlign w:val="bottom"/>
            <w:gridSpan w:val="3"/>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RTX Corporation</w:t>
            </w:r>
          </w:p>
        </w:tc>
        <w:tc>
          <w:tcPr>
            <w:tcW w:w="100" w:type="dxa"/>
            <w:vAlign w:val="bottom"/>
            <w:tcBorders>
              <w:top w:val="single" w:sz="8" w:color="CCEEFF"/>
            </w:tcBorders>
            <w:shd w:val="clear" w:color="auto" w:fill="CCEEFF"/>
          </w:tcPr>
          <w:p>
            <w:pPr>
              <w:spacing w:after="0"/>
              <w:rPr>
                <w:sz w:val="19"/>
                <w:szCs w:val="19"/>
                <w:color w:val="auto"/>
              </w:rPr>
            </w:pPr>
          </w:p>
        </w:tc>
        <w:tc>
          <w:tcPr>
            <w:tcW w:w="3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22,628,626</w:t>
            </w:r>
          </w:p>
        </w:tc>
        <w:tc>
          <w:tcPr>
            <w:tcW w:w="0" w:type="dxa"/>
            <w:vAlign w:val="bottom"/>
          </w:tcPr>
          <w:p>
            <w:pPr>
              <w:spacing w:after="0"/>
              <w:rPr>
                <w:sz w:val="1"/>
                <w:szCs w:val="1"/>
                <w:color w:val="auto"/>
              </w:rPr>
            </w:pPr>
          </w:p>
        </w:tc>
      </w:tr>
    </w:tbl>
    <w:p>
      <w:pPr>
        <w:ind w:left="480" w:hanging="454"/>
        <w:spacing w:after="0" w:line="236"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Street Global Advisors Trust Company State Street Short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Investment Fund</w:t>
            </w:r>
          </w:p>
        </w:tc>
        <w:tc>
          <w:tcPr>
            <w:tcW w:w="4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Short-term Investment Fund</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277,679</w:t>
            </w:r>
          </w:p>
        </w:tc>
      </w:tr>
      <w:tr>
        <w:trPr>
          <w:trHeight w:val="229"/>
        </w:trPr>
        <w:tc>
          <w:tcPr>
            <w:tcW w:w="300" w:type="dxa"/>
            <w:vAlign w:val="bottom"/>
            <w:shd w:val="clear" w:color="auto" w:fill="CCEEFF"/>
          </w:tcPr>
          <w:p>
            <w:pPr>
              <w:spacing w:after="0"/>
              <w:rPr>
                <w:sz w:val="19"/>
                <w:szCs w:val="19"/>
                <w:color w:val="auto"/>
              </w:rPr>
            </w:pPr>
          </w:p>
        </w:tc>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Vanguard Target Retirement 2020 Fund</w:t>
            </w:r>
          </w:p>
        </w:tc>
        <w:tc>
          <w:tcPr>
            <w:tcW w:w="4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1,027,430</w:t>
            </w:r>
          </w:p>
        </w:tc>
      </w:tr>
      <w:tr>
        <w:trPr>
          <w:trHeight w:val="229"/>
        </w:trPr>
        <w:tc>
          <w:tcPr>
            <w:tcW w:w="300" w:type="dxa"/>
            <w:vAlign w:val="bottom"/>
          </w:tcPr>
          <w:p>
            <w:pPr>
              <w:spacing w:after="0"/>
              <w:rPr>
                <w:sz w:val="19"/>
                <w:szCs w:val="19"/>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Vanguard Target Retirement 2025 Fund</w:t>
            </w:r>
          </w:p>
        </w:tc>
        <w:tc>
          <w:tcPr>
            <w:tcW w:w="4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3,974,173</w:t>
            </w:r>
          </w:p>
        </w:tc>
      </w:tr>
      <w:tr>
        <w:trPr>
          <w:trHeight w:val="230"/>
        </w:trPr>
        <w:tc>
          <w:tcPr>
            <w:tcW w:w="300" w:type="dxa"/>
            <w:vAlign w:val="bottom"/>
            <w:shd w:val="clear" w:color="auto" w:fill="CCEEFF"/>
          </w:tcPr>
          <w:p>
            <w:pPr>
              <w:spacing w:after="0"/>
              <w:rPr>
                <w:sz w:val="19"/>
                <w:szCs w:val="19"/>
                <w:color w:val="auto"/>
              </w:rPr>
            </w:pPr>
          </w:p>
        </w:tc>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Vanguard Target Retirement 2030 Fund</w:t>
            </w:r>
          </w:p>
        </w:tc>
        <w:tc>
          <w:tcPr>
            <w:tcW w:w="4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8,011,558</w:t>
            </w:r>
          </w:p>
        </w:tc>
      </w:tr>
      <w:tr>
        <w:trPr>
          <w:trHeight w:val="229"/>
        </w:trPr>
        <w:tc>
          <w:tcPr>
            <w:tcW w:w="300" w:type="dxa"/>
            <w:vAlign w:val="bottom"/>
          </w:tcPr>
          <w:p>
            <w:pPr>
              <w:spacing w:after="0"/>
              <w:rPr>
                <w:sz w:val="19"/>
                <w:szCs w:val="19"/>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Vanguard Target Retirement 2035 Fund</w:t>
            </w:r>
          </w:p>
        </w:tc>
        <w:tc>
          <w:tcPr>
            <w:tcW w:w="4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8,234,200</w:t>
            </w:r>
          </w:p>
        </w:tc>
      </w:tr>
      <w:tr>
        <w:trPr>
          <w:trHeight w:val="230"/>
        </w:trPr>
        <w:tc>
          <w:tcPr>
            <w:tcW w:w="300" w:type="dxa"/>
            <w:vAlign w:val="bottom"/>
            <w:shd w:val="clear" w:color="auto" w:fill="CCEEFF"/>
          </w:tcPr>
          <w:p>
            <w:pPr>
              <w:spacing w:after="0"/>
              <w:rPr>
                <w:sz w:val="19"/>
                <w:szCs w:val="19"/>
                <w:color w:val="auto"/>
              </w:rPr>
            </w:pPr>
          </w:p>
        </w:tc>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Vanguard Target Retirement 2040 Fund</w:t>
            </w:r>
          </w:p>
        </w:tc>
        <w:tc>
          <w:tcPr>
            <w:tcW w:w="4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16,781,046</w:t>
            </w:r>
          </w:p>
        </w:tc>
      </w:tr>
      <w:tr>
        <w:trPr>
          <w:trHeight w:val="229"/>
        </w:trPr>
        <w:tc>
          <w:tcPr>
            <w:tcW w:w="300" w:type="dxa"/>
            <w:vAlign w:val="bottom"/>
          </w:tcPr>
          <w:p>
            <w:pPr>
              <w:spacing w:after="0"/>
              <w:rPr>
                <w:sz w:val="19"/>
                <w:szCs w:val="19"/>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Vanguard Target Retirement 2045 Fund</w:t>
            </w:r>
          </w:p>
        </w:tc>
        <w:tc>
          <w:tcPr>
            <w:tcW w:w="4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21,264,741</w:t>
            </w:r>
          </w:p>
        </w:tc>
      </w:tr>
      <w:tr>
        <w:trPr>
          <w:trHeight w:val="229"/>
        </w:trPr>
        <w:tc>
          <w:tcPr>
            <w:tcW w:w="300" w:type="dxa"/>
            <w:vAlign w:val="bottom"/>
            <w:shd w:val="clear" w:color="auto" w:fill="CCEEFF"/>
          </w:tcPr>
          <w:p>
            <w:pPr>
              <w:spacing w:after="0"/>
              <w:rPr>
                <w:sz w:val="19"/>
                <w:szCs w:val="19"/>
                <w:color w:val="auto"/>
              </w:rPr>
            </w:pPr>
          </w:p>
        </w:tc>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Vanguard Target Retirement 2050 Fund</w:t>
            </w:r>
          </w:p>
        </w:tc>
        <w:tc>
          <w:tcPr>
            <w:tcW w:w="4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20,872,734</w:t>
            </w:r>
          </w:p>
        </w:tc>
      </w:tr>
      <w:tr>
        <w:trPr>
          <w:trHeight w:val="230"/>
        </w:trPr>
        <w:tc>
          <w:tcPr>
            <w:tcW w:w="300" w:type="dxa"/>
            <w:vAlign w:val="bottom"/>
          </w:tcPr>
          <w:p>
            <w:pPr>
              <w:spacing w:after="0"/>
              <w:rPr>
                <w:sz w:val="19"/>
                <w:szCs w:val="19"/>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Vanguard Target Retirement 2055 Fund</w:t>
            </w:r>
          </w:p>
        </w:tc>
        <w:tc>
          <w:tcPr>
            <w:tcW w:w="4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19,782,048</w:t>
            </w:r>
          </w:p>
        </w:tc>
      </w:tr>
      <w:tr>
        <w:trPr>
          <w:trHeight w:val="229"/>
        </w:trPr>
        <w:tc>
          <w:tcPr>
            <w:tcW w:w="300" w:type="dxa"/>
            <w:vAlign w:val="bottom"/>
            <w:shd w:val="clear" w:color="auto" w:fill="CCEEFF"/>
          </w:tcPr>
          <w:p>
            <w:pPr>
              <w:spacing w:after="0"/>
              <w:rPr>
                <w:sz w:val="19"/>
                <w:szCs w:val="19"/>
                <w:color w:val="auto"/>
              </w:rPr>
            </w:pPr>
          </w:p>
        </w:tc>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Vanguard Target Retirement 2060 Fund</w:t>
            </w:r>
          </w:p>
        </w:tc>
        <w:tc>
          <w:tcPr>
            <w:tcW w:w="4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6,079,747</w:t>
            </w:r>
          </w:p>
        </w:tc>
      </w:tr>
      <w:tr>
        <w:trPr>
          <w:trHeight w:val="230"/>
        </w:trPr>
        <w:tc>
          <w:tcPr>
            <w:tcW w:w="300" w:type="dxa"/>
            <w:vAlign w:val="bottom"/>
          </w:tcPr>
          <w:p>
            <w:pPr>
              <w:spacing w:after="0"/>
              <w:rPr>
                <w:sz w:val="19"/>
                <w:szCs w:val="19"/>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Vanguard Target Retirement 2065 Fund</w:t>
            </w:r>
          </w:p>
        </w:tc>
        <w:tc>
          <w:tcPr>
            <w:tcW w:w="4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2,274,643</w:t>
            </w:r>
          </w:p>
        </w:tc>
      </w:tr>
      <w:tr>
        <w:trPr>
          <w:trHeight w:val="229"/>
        </w:trPr>
        <w:tc>
          <w:tcPr>
            <w:tcW w:w="300" w:type="dxa"/>
            <w:vAlign w:val="bottom"/>
            <w:shd w:val="clear" w:color="auto" w:fill="CCEEFF"/>
          </w:tcPr>
          <w:p>
            <w:pPr>
              <w:spacing w:after="0"/>
              <w:rPr>
                <w:sz w:val="19"/>
                <w:szCs w:val="19"/>
                <w:color w:val="auto"/>
              </w:rPr>
            </w:pPr>
          </w:p>
        </w:tc>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Vanguard Target Retirement 2070 Fund</w:t>
            </w:r>
          </w:p>
        </w:tc>
        <w:tc>
          <w:tcPr>
            <w:tcW w:w="4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491,468</w:t>
            </w:r>
          </w:p>
        </w:tc>
      </w:tr>
      <w:tr>
        <w:trPr>
          <w:trHeight w:val="229"/>
        </w:trPr>
        <w:tc>
          <w:tcPr>
            <w:tcW w:w="300" w:type="dxa"/>
            <w:vAlign w:val="bottom"/>
          </w:tcPr>
          <w:p>
            <w:pPr>
              <w:spacing w:after="0"/>
              <w:rPr>
                <w:sz w:val="19"/>
                <w:szCs w:val="19"/>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Vanguard Target Retirement Income Fund</w:t>
            </w:r>
          </w:p>
        </w:tc>
        <w:tc>
          <w:tcPr>
            <w:tcW w:w="4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1,228,894</w:t>
            </w:r>
          </w:p>
        </w:tc>
      </w:tr>
      <w:tr>
        <w:trPr>
          <w:trHeight w:val="230"/>
        </w:trPr>
        <w:tc>
          <w:tcPr>
            <w:tcW w:w="300" w:type="dxa"/>
            <w:vAlign w:val="bottom"/>
            <w:shd w:val="clear" w:color="auto" w:fill="CCEEFF"/>
          </w:tcPr>
          <w:p>
            <w:pPr>
              <w:spacing w:after="0"/>
              <w:rPr>
                <w:sz w:val="19"/>
                <w:szCs w:val="19"/>
                <w:color w:val="auto"/>
              </w:rPr>
            </w:pPr>
          </w:p>
        </w:tc>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Vanguard Total Stock Market Index Fund</w:t>
            </w:r>
          </w:p>
        </w:tc>
        <w:tc>
          <w:tcPr>
            <w:tcW w:w="4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15,173,806</w:t>
            </w:r>
          </w:p>
        </w:tc>
      </w:tr>
      <w:tr>
        <w:trPr>
          <w:trHeight w:val="229"/>
        </w:trPr>
        <w:tc>
          <w:tcPr>
            <w:tcW w:w="300" w:type="dxa"/>
            <w:vAlign w:val="bottom"/>
          </w:tcPr>
          <w:p>
            <w:pPr>
              <w:spacing w:after="0"/>
              <w:rPr>
                <w:sz w:val="19"/>
                <w:szCs w:val="19"/>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Vanguard Total International Stock Index Fund</w:t>
            </w:r>
          </w:p>
        </w:tc>
        <w:tc>
          <w:tcPr>
            <w:tcW w:w="4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3,043,447</w:t>
            </w:r>
          </w:p>
        </w:tc>
      </w:tr>
      <w:tr>
        <w:trPr>
          <w:trHeight w:val="229"/>
        </w:trPr>
        <w:tc>
          <w:tcPr>
            <w:tcW w:w="300" w:type="dxa"/>
            <w:vAlign w:val="bottom"/>
            <w:shd w:val="clear" w:color="auto" w:fill="CCEEFF"/>
          </w:tcPr>
          <w:p>
            <w:pPr>
              <w:spacing w:after="0"/>
              <w:rPr>
                <w:sz w:val="19"/>
                <w:szCs w:val="19"/>
                <w:color w:val="auto"/>
              </w:rPr>
            </w:pPr>
          </w:p>
        </w:tc>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Vanguard Total Bond Market Index Fund</w:t>
            </w:r>
          </w:p>
        </w:tc>
        <w:tc>
          <w:tcPr>
            <w:tcW w:w="4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1,820,571</w:t>
            </w:r>
          </w:p>
        </w:tc>
      </w:tr>
      <w:tr>
        <w:trPr>
          <w:trHeight w:val="230"/>
        </w:trPr>
        <w:tc>
          <w:tcPr>
            <w:tcW w:w="300" w:type="dxa"/>
            <w:vAlign w:val="bottom"/>
          </w:tcPr>
          <w:p>
            <w:pPr>
              <w:spacing w:after="0"/>
              <w:rPr>
                <w:sz w:val="19"/>
                <w:szCs w:val="19"/>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Vanguard Treasury Money Market Fund</w:t>
            </w:r>
          </w:p>
        </w:tc>
        <w:tc>
          <w:tcPr>
            <w:tcW w:w="4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Mutual Fund</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10,596,189</w:t>
            </w:r>
          </w:p>
        </w:tc>
      </w:tr>
      <w:tr>
        <w:trPr>
          <w:trHeight w:val="184"/>
        </w:trPr>
        <w:tc>
          <w:tcPr>
            <w:tcW w:w="300" w:type="dxa"/>
            <w:vAlign w:val="bottom"/>
            <w:shd w:val="clear" w:color="auto" w:fill="CCEEFF"/>
          </w:tcPr>
          <w:p>
            <w:pPr>
              <w:jc w:val="right"/>
              <w:ind w:right="90"/>
              <w:spacing w:after="0" w:line="184" w:lineRule="exact"/>
              <w:rPr>
                <w:sz w:val="20"/>
                <w:szCs w:val="20"/>
                <w:color w:val="auto"/>
              </w:rPr>
            </w:pPr>
            <w:r>
              <w:rPr>
                <w:rFonts w:ascii="Times New Roman" w:cs="Times New Roman" w:eastAsia="Times New Roman" w:hAnsi="Times New Roman"/>
                <w:sz w:val="18"/>
                <w:szCs w:val="18"/>
                <w:color w:val="auto"/>
              </w:rPr>
              <w:t>*</w:t>
            </w:r>
          </w:p>
        </w:tc>
        <w:tc>
          <w:tcPr>
            <w:tcW w:w="43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Plan Participants</w:t>
            </w:r>
          </w:p>
        </w:tc>
        <w:tc>
          <w:tcPr>
            <w:tcW w:w="4220" w:type="dxa"/>
            <w:vAlign w:val="bottom"/>
            <w:shd w:val="clear" w:color="auto" w:fill="CCEEFF"/>
          </w:tcPr>
          <w:p>
            <w:pPr>
              <w:ind w:left="800"/>
              <w:spacing w:after="0" w:line="184" w:lineRule="exact"/>
              <w:rPr>
                <w:sz w:val="20"/>
                <w:szCs w:val="20"/>
                <w:color w:val="auto"/>
              </w:rPr>
            </w:pPr>
            <w:r>
              <w:rPr>
                <w:rFonts w:ascii="Times New Roman" w:cs="Times New Roman" w:eastAsia="Times New Roman" w:hAnsi="Times New Roman"/>
                <w:sz w:val="18"/>
                <w:szCs w:val="18"/>
                <w:color w:val="auto"/>
              </w:rPr>
              <w:t>Notes receivable from participants</w:t>
            </w:r>
          </w:p>
        </w:tc>
        <w:tc>
          <w:tcPr>
            <w:tcW w:w="1180" w:type="dxa"/>
            <w:vAlign w:val="bottom"/>
            <w:gridSpan w:val="2"/>
            <w:shd w:val="clear" w:color="auto" w:fill="CCEEFF"/>
          </w:tcPr>
          <w:p>
            <w:pPr>
              <w:jc w:val="right"/>
              <w:ind w:right="37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7,253,087</w:t>
            </w:r>
          </w:p>
        </w:tc>
      </w:tr>
      <w:tr>
        <w:trPr>
          <w:trHeight w:val="180"/>
        </w:trPr>
        <w:tc>
          <w:tcPr>
            <w:tcW w:w="30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4220" w:type="dxa"/>
            <w:vAlign w:val="bottom"/>
            <w:shd w:val="clear" w:color="auto" w:fill="CCEEFF"/>
          </w:tcPr>
          <w:p>
            <w:pPr>
              <w:ind w:left="800"/>
              <w:spacing w:after="0" w:line="181" w:lineRule="exact"/>
              <w:rPr>
                <w:sz w:val="20"/>
                <w:szCs w:val="20"/>
                <w:color w:val="auto"/>
              </w:rPr>
            </w:pPr>
            <w:r>
              <w:rPr>
                <w:rFonts w:ascii="Times New Roman" w:cs="Times New Roman" w:eastAsia="Times New Roman" w:hAnsi="Times New Roman"/>
                <w:sz w:val="18"/>
                <w:szCs w:val="18"/>
                <w:color w:val="auto"/>
              </w:rPr>
              <w:t>secured by participant balances, interest</w:t>
            </w: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5"/>
        </w:trPr>
        <w:tc>
          <w:tcPr>
            <w:tcW w:w="30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4220" w:type="dxa"/>
            <w:vAlign w:val="bottom"/>
            <w:shd w:val="clear" w:color="auto" w:fill="CCEEFF"/>
          </w:tcPr>
          <w:p>
            <w:pPr>
              <w:ind w:left="800"/>
              <w:spacing w:after="0" w:line="176" w:lineRule="exact"/>
              <w:rPr>
                <w:sz w:val="20"/>
                <w:szCs w:val="20"/>
                <w:color w:val="auto"/>
              </w:rPr>
            </w:pPr>
            <w:r>
              <w:rPr>
                <w:rFonts w:ascii="Times New Roman" w:cs="Times New Roman" w:eastAsia="Times New Roman" w:hAnsi="Times New Roman"/>
                <w:sz w:val="18"/>
                <w:szCs w:val="18"/>
                <w:color w:val="auto"/>
              </w:rPr>
              <w:t>ranging from 4.25% to 9.5%, terms</w:t>
            </w: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3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4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ranging from 1 year to 5 years</w:t>
            </w:r>
          </w:p>
        </w:tc>
        <w:tc>
          <w:tcPr>
            <w:tcW w:w="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170,816,087</w:t>
            </w:r>
          </w:p>
        </w:tc>
      </w:tr>
      <w:tr>
        <w:trPr>
          <w:trHeight w:val="21"/>
        </w:trPr>
        <w:tc>
          <w:tcPr>
            <w:tcW w:w="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80" w:hanging="654"/>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an identified person known to be a party-in-interest to the Plan.</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Cost has been omitted as investment is participant directed.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5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u w:val="single" w:color="auto"/>
          <w:color w:val="0000FF"/>
        </w:rPr>
        <w:t>23</w:t>
        <w:tab/>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87"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Plan (or other persons who administer the employee benefit plan)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duly caused this annual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84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RTX PUERTO RICO SAVINGS PLAN</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June 18, 2026</w:t>
            </w:r>
          </w:p>
        </w:tc>
        <w:tc>
          <w:tcPr>
            <w:tcW w:w="22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AMY L. JOHNSON</w:t>
            </w:r>
          </w:p>
        </w:tc>
      </w:tr>
      <w:tr>
        <w:trPr>
          <w:trHeight w:val="218"/>
        </w:trPr>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L. Johnson</w:t>
            </w:r>
          </w:p>
        </w:tc>
      </w:tr>
      <w:tr>
        <w:trPr>
          <w:trHeight w:val="230"/>
        </w:trPr>
        <w:tc>
          <w:tcPr>
            <w:tcW w:w="7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Controller</w:t>
            </w:r>
          </w:p>
        </w:tc>
      </w:tr>
      <w:tr>
        <w:trPr>
          <w:trHeight w:val="234"/>
        </w:trPr>
        <w:tc>
          <w:tcPr>
            <w:tcW w:w="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887" w:right="35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9"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 on Form S-8 (No. 333-234085) of RTX Corporation of our report dated June 18, 2026 relating to the financial statements and supplemental schedule of the RTX Puerto Rico Savings Plan, which appears in this Form 11-K.</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rPr>
          <w:sz w:val="20"/>
          <w:szCs w:val="20"/>
          <w:color w:val="auto"/>
        </w:rPr>
      </w:pPr>
      <w:r>
        <w:rPr>
          <w:rFonts w:ascii="Times New Roman" w:cs="Times New Roman" w:eastAsia="Times New Roman" w:hAnsi="Times New Roman"/>
          <w:sz w:val="18"/>
          <w:szCs w:val="18"/>
          <w:color w:val="auto"/>
        </w:rPr>
        <w:t>June 18,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2026-06-18T16:01:05Z</dcterms:created>
  <dcterms:modified xsi:type="dcterms:W3CDTF">2026-06-18T16:01:05Z</dcterms:modified>
</cp:coreProperties>
</file>