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doc4.xml.htm"/>
      <w:bookmarkStart w:id="1" w:name="ksdoc4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  <w:r>
              <w:rPr/>
              <w:t xml:space="preserve"> 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 xml:space="preserve">  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JASPER PHILIP J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1000 WILSON BLVD.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ARLINGTON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VA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22209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RTX Corp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RTX</w:t>
            </w:r>
            <w:r>
              <w:rPr/>
              <w:t xml:space="preserve"> ] 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  <w:r>
              <w:rPr/>
              <w:t xml:space="preserve">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President, Raytheon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07/01/2026</w:t>
            </w:r>
            <w:r>
              <w:rPr/>
              <w:t xml:space="preserve"> 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78"/>
        <w:gridCol w:w="906"/>
        <w:gridCol w:w="774"/>
        <w:gridCol w:w="602"/>
        <w:gridCol w:w="355"/>
        <w:gridCol w:w="829"/>
        <w:gridCol w:w="473"/>
        <w:gridCol w:w="635"/>
        <w:gridCol w:w="1195"/>
        <w:gridCol w:w="1021"/>
        <w:gridCol w:w="937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78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1937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9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2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78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7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3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95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2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7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12194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980"/>
        <w:gridCol w:w="861"/>
        <w:gridCol w:w="891"/>
        <w:gridCol w:w="771"/>
        <w:gridCol w:w="591"/>
        <w:gridCol w:w="300"/>
        <w:gridCol w:w="711"/>
        <w:gridCol w:w="276"/>
        <w:gridCol w:w="906"/>
        <w:gridCol w:w="801"/>
        <w:gridCol w:w="891"/>
        <w:gridCol w:w="801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2194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t xml:space="preserve"> </w:t>
            </w:r>
          </w:p>
        </w:tc>
      </w:tr>
      <w:tr>
        <w:trPr>
          <w:tblHeader w:val="true"/>
        </w:trPr>
        <w:tc>
          <w:tcPr>
            <w:tcW w:w="980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98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69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980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980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Restricted Stock Units</w:t>
            </w:r>
          </w:p>
        </w:tc>
        <w:tc>
          <w:tcPr>
            <w:tcW w:w="8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07/01/2026</w:t>
            </w:r>
          </w:p>
        </w:tc>
        <w:tc>
          <w:tcPr>
            <w:tcW w:w="77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71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20,860</w:t>
            </w:r>
          </w:p>
        </w:tc>
        <w:tc>
          <w:tcPr>
            <w:tcW w:w="27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  <w:r>
              <w:rPr/>
              <w:t xml:space="preserve"> </w:t>
            </w:r>
          </w:p>
        </w:tc>
        <w:tc>
          <w:tcPr>
            <w:tcW w:w="8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Common Stock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20,860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14"/>
              </w:rPr>
              <w:t>$</w:t>
            </w: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0.0000</w:t>
            </w:r>
            <w:r>
              <w:rPr/>
              <w:t xml:space="preserve"> </w:t>
            </w:r>
          </w:p>
        </w:tc>
        <w:tc>
          <w:tcPr>
            <w:tcW w:w="9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33,637</w:t>
            </w:r>
          </w:p>
        </w:tc>
        <w:tc>
          <w:tcPr>
            <w:tcW w:w="8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D</w:t>
            </w:r>
          </w:p>
        </w:tc>
        <w:tc>
          <w:tcPr>
            <w:tcW w:w="84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Each Restricted Stock Unit (RSU), including dividend equivalents that accrue during the vesting period, represents a contingent right to receive one share of RTX Common Stock. These RSUs vest on the third anniversary of the date of grant.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Jennifer Yahl, as Attorney-in-fact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07/06/2026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59248" TargetMode="External"/><Relationship Id="rId5" Type="http://schemas.openxmlformats.org/officeDocument/2006/relationships/hyperlink" Target="http://www.sec.gov/cgi-bin/browse-edgar?action=getcompany&amp;CIK=0000101829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603</Words>
  <Characters>3273</Characters>
  <CharactersWithSpaces>3814</CharactersWithSpaces>
  <Paragraphs>99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